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rPr/>
      </w:pPr>
      <w:r>
        <w:rPr>
          <w:b/>
          <w:bCs/>
        </w:rPr>
        <w:t>Časové rozvržení učiva - 20</w:t>
      </w:r>
      <w:r>
        <w:rPr>
          <w:rFonts w:eastAsia="Times New Roman" w:cs="Times New Roman"/>
          <w:b/>
          <w:bCs/>
          <w:caps/>
          <w:color w:val="auto"/>
          <w:sz w:val="28"/>
          <w:szCs w:val="20"/>
          <w:u w:val="single"/>
          <w:lang w:val="cs-CZ" w:eastAsia="zh-CN" w:bidi="ar-SA"/>
        </w:rPr>
        <w:t>2</w:t>
      </w:r>
      <w:r>
        <w:rPr>
          <w:rFonts w:eastAsia="Times New Roman" w:cs="Times New Roman"/>
          <w:b/>
          <w:bCs/>
          <w:caps/>
          <w:color w:val="auto"/>
          <w:sz w:val="28"/>
          <w:szCs w:val="20"/>
          <w:u w:val="single"/>
          <w:lang w:val="cs-CZ" w:eastAsia="zh-CN" w:bidi="ar-SA"/>
        </w:rPr>
        <w:t>5</w:t>
      </w:r>
      <w:r>
        <w:rPr>
          <w:b/>
          <w:bCs/>
        </w:rPr>
        <w:t>/</w:t>
      </w:r>
      <w:r>
        <w:rPr>
          <w:rFonts w:eastAsia="Times New Roman" w:cs="Times New Roman"/>
          <w:b/>
          <w:bCs/>
          <w:caps/>
          <w:color w:val="auto"/>
          <w:sz w:val="28"/>
          <w:szCs w:val="20"/>
          <w:u w:val="single"/>
          <w:lang w:val="cs-CZ" w:eastAsia="zh-CN" w:bidi="ar-SA"/>
        </w:rPr>
        <w:t>2</w:t>
      </w:r>
      <w:r>
        <w:rPr>
          <w:rFonts w:eastAsia="Times New Roman" w:cs="Times New Roman"/>
          <w:b/>
          <w:bCs/>
          <w:caps/>
          <w:color w:val="auto"/>
          <w:sz w:val="28"/>
          <w:szCs w:val="20"/>
          <w:u w:val="single"/>
          <w:lang w:val="cs-CZ" w:eastAsia="zh-CN" w:bidi="ar-SA"/>
        </w:rPr>
        <w:t>6</w:t>
      </w:r>
    </w:p>
    <w:p>
      <w:pPr>
        <w:pStyle w:val="Nadpis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88"/>
        <w:rPr/>
      </w:pPr>
      <w:r>
        <w:rPr>
          <w:b/>
        </w:rPr>
        <w:t xml:space="preserve">Předmět: matematika – </w:t>
      </w:r>
      <w:r>
        <w:rPr/>
        <w:t>povinný</w:t>
        <w:tab/>
        <w:tab/>
        <w:tab/>
        <w:tab/>
        <w:tab/>
        <w:tab/>
        <w:tab/>
        <w:tab/>
        <w:t xml:space="preserve">                                                                                   </w:t>
        <w:tab/>
      </w:r>
    </w:p>
    <w:p>
      <w:pPr>
        <w:pStyle w:val="Normal"/>
        <w:spacing w:lineRule="auto" w:line="288"/>
        <w:rPr>
          <w:b/>
          <w:b/>
        </w:rPr>
      </w:pPr>
      <w:r>
        <w:rPr>
          <w:b/>
        </w:rPr>
        <w:t>Vyučující: Martin Vinkler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88"/>
        <w:rPr>
          <w:b/>
          <w:b/>
        </w:rPr>
      </w:pPr>
      <w:r>
        <w:rPr>
          <w:b/>
        </w:rPr>
        <w:t>Třída: 4.F</w:t>
      </w:r>
    </w:p>
    <w:p>
      <w:pPr>
        <w:pStyle w:val="Normal"/>
        <w:spacing w:lineRule="auto" w:line="288"/>
        <w:rPr/>
      </w:pPr>
      <w:r>
        <w:rPr>
          <w:b/>
        </w:rPr>
        <w:t>Studium:</w:t>
      </w:r>
      <w:r>
        <w:rPr/>
        <w:t xml:space="preserve"> 4-leté 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/>
      </w:pPr>
      <w:r>
        <w:rPr>
          <w:b/>
        </w:rPr>
        <w:t>Učebnice</w:t>
      </w:r>
      <w:r>
        <w:rPr/>
        <w:t xml:space="preserve"> (autor-název): Matematika pro gymnázia, nakl. Prométheus: E. Calda – Kombinatorika a pravděpodobnost, J. Petáková : Matematika – sbírka 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/>
      </w:pPr>
      <w:r>
        <w:rPr/>
        <w:t xml:space="preserve">                                         </w:t>
      </w:r>
      <w:r>
        <w:rPr/>
        <w:t>příkladů k maturitě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/>
      </w:pPr>
      <w:r>
        <w:rPr>
          <w:b/>
        </w:rPr>
        <w:t xml:space="preserve">Podmínky a pravidla klasifikace: </w:t>
      </w:r>
      <w:r>
        <w:rPr/>
        <w:t xml:space="preserve">písemné práce na průběžnou kontrolu učiva, student musí mít všechny doplněny, za základ výsledné klasifikace je brán aritmetický průměr známek z písemných prací </w:t>
      </w:r>
    </w:p>
    <w:p>
      <w:pPr>
        <w:pStyle w:val="Normal"/>
        <w:tabs>
          <w:tab w:val="clear" w:pos="708"/>
          <w:tab w:val="right" w:pos="9072" w:leader="none"/>
        </w:tabs>
        <w:spacing w:lineRule="auto" w:line="288"/>
        <w:rPr/>
      </w:pPr>
      <w:r>
        <w:rPr/>
      </w:r>
    </w:p>
    <w:tbl>
      <w:tblPr>
        <w:tblW w:w="15126" w:type="dxa"/>
        <w:jc w:val="left"/>
        <w:tblInd w:w="-6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4679"/>
        <w:gridCol w:w="4536"/>
        <w:gridCol w:w="2268"/>
        <w:gridCol w:w="1883"/>
        <w:gridCol w:w="40"/>
      </w:tblGrid>
      <w:tr>
        <w:trPr>
          <w:trHeight w:val="315" w:hRule="atLeast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pozn. (exkurze apod.)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/>
                <w:bCs/>
                <w:sz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Opakování učiva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517" w:right="0" w:hanging="517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15.9. – 30.11.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 </w:t>
            </w:r>
            <w:r>
              <w:rPr>
                <w:b/>
                <w:bCs/>
                <w:sz w:val="20"/>
              </w:rPr>
              <w:t>Kombinatorika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variace, kombinace, permutace bez    opakování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faktoriály a kombinační čísla – zavedení, vlastnosti, operace s nimi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Pascalův trojúhelník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rovnice s faktoriály a kombinačními čísly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binomická věta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 variace, kombinace, permutace s opakováním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Rozliší variace, kombinace, permutace a určí jejich počty (bez opakování);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aktivně počítá s faktoriály a kombinačními čísly;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dokáže jednoduchá pravidla;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pracuje s Pascalovým trojúhelníkem, chápe význam jeho prvků;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používá poznatky ve slovních  úlohách;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vysloví a napíše symbolicky binomickou větu, dokáže ji a užívá ji při řešení úloh. 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Dle úrovně třídy: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Rozliší variace, kombinace a permutace s opakováním;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Užívá uvedené pojmy v slovních úlohách.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i/>
                <w:i/>
                <w:sz w:val="20"/>
              </w:rPr>
            </w:pPr>
            <w:r>
              <w:rPr>
                <w:rFonts w:eastAsia="Arial Unicode MS" w:cs="Arial" w:ascii="Arial" w:hAnsi="Arial"/>
                <w:i/>
                <w:sz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sz w:val="20"/>
              </w:rPr>
            </w:pPr>
            <w:r>
              <w:rPr>
                <w:rFonts w:eastAsia="Arial Unicode MS" w:cs="Arial" w:ascii="Arial" w:hAnsi="Arial"/>
                <w:i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1.12. – 28.2.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 </w:t>
            </w:r>
            <w:r>
              <w:rPr>
                <w:b/>
                <w:bCs/>
                <w:sz w:val="20"/>
              </w:rPr>
              <w:t>Pravděpodobnost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základní pojmy klasické pravděpodobnosti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závislost a nezávislost jevů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sčítání a násobení pravděpodobností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podmíněná pravděpodobnost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pravděpodobnost opakovaných jevů</w:t>
            </w:r>
          </w:p>
          <w:p>
            <w:pPr>
              <w:pStyle w:val="Normal"/>
              <w:rPr>
                <w:rFonts w:eastAsia="Arial Unicode MS"/>
                <w:i/>
                <w:i/>
                <w:sz w:val="20"/>
              </w:rPr>
            </w:pPr>
            <w:r>
              <w:rPr>
                <w:rFonts w:eastAsia="Arial Unicode MS"/>
                <w:i/>
                <w:sz w:val="20"/>
              </w:rPr>
              <w:t>- úplná pravděpodobnost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 porozuměním používá základní  pojmy z pravděpodobnosti;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určí pravděpodobnost náhodného jevu,  sjednocení nebo průniku jevů;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operuje s pojmem závislosti a nezávislosti jevů, rozezná tyto jevy konkrétních případech;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vypočítá podmíněnou pravděpodobnost, pravděpodobnost opakovaných jevů;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aplikuje poznatky z pravděpodobnosti ve slovních úlohách.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Dle úrovně třídy:</w:t>
            </w:r>
          </w:p>
          <w:p>
            <w:pPr>
              <w:pStyle w:val="Normal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Úplná pravděpodobnost a její aplikaceve slovních úlohách.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i/>
                <w:i/>
                <w:sz w:val="20"/>
              </w:rPr>
            </w:pPr>
            <w:r>
              <w:rPr>
                <w:rFonts w:eastAsia="Arial Unicode MS" w:cs="Arial" w:ascii="Arial" w:hAnsi="Arial"/>
                <w:i/>
                <w:sz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sz w:val="20"/>
              </w:rPr>
            </w:pPr>
            <w:r>
              <w:rPr>
                <w:rFonts w:eastAsia="Arial Unicode MS" w:cs="Arial" w:ascii="Arial" w:hAnsi="Arial"/>
                <w:i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</w:rPr>
              <w:t xml:space="preserve">1.3. – </w:t>
            </w:r>
            <w:r>
              <w:rPr>
                <w:rFonts w:eastAsia="Times New Roman" w:cs="Times New Roman"/>
                <w:color w:val="auto"/>
                <w:sz w:val="20"/>
                <w:szCs w:val="24"/>
                <w:lang w:val="cs-CZ" w:eastAsia="zh-CN" w:bidi="ar-SA"/>
              </w:rPr>
              <w:t>1</w:t>
            </w:r>
            <w:r>
              <w:rPr>
                <w:sz w:val="20"/>
              </w:rPr>
              <w:t>.4.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Komplexní čísla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zavedení komplexních čísel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tvary komplexních čísel a operace v 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Moivreova věta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rovnice řešené v oboru komplexních čísel (kvadratické, binomické)</w: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 xml:space="preserve">Užívá Gaussovu rovinu k zobrazení komplexních čísel, </w:t>
            </w:r>
            <w:r>
              <w:rPr>
                <w:rFonts w:eastAsia="Arial Unicode MS"/>
                <w:sz w:val="20"/>
              </w:rPr>
              <w:t>vyjádří komplexní číslo v algebraickém a goniometrickém tvaru;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vypočítá absolutní hodnotu a argument komplexního čísla a uvede jejich geometrický význam;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operuje s komplexními čísly v algebraickém tvaru;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vysloví Moivreovu větu a  provede její důkaz;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provádí násobení, dělení, umocňování a odmocňování komplexních čísel v goniometrickém tvaru s využitím Moivreovy věty;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 binomické rovnice, lineární a  kvadratické rovnice v oboru komplexních čísel (kvadratické pouze s reálnými koeficienty).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2.4. – 30.4.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Souhrnné opakování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right" w:pos="9072" w:leader="none"/>
        </w:tabs>
        <w:spacing w:lineRule="auto" w:line="288"/>
        <w:rPr>
          <w:sz w:val="20"/>
          <w:szCs w:val="20"/>
        </w:rPr>
      </w:pPr>
      <w:r>
        <w:rPr>
          <w:sz w:val="20"/>
          <w:szCs w:val="20"/>
        </w:rPr>
        <w:t>Po každém tématickém celku bude následovat shrnutí učiva daného celku (časová dotace asi 1 – 2 hodiny).</w:t>
        <w:tab/>
        <w:tab/>
        <w:tab/>
        <w:tab/>
      </w:r>
    </w:p>
    <w:p>
      <w:pPr>
        <w:pStyle w:val="Normal"/>
        <w:ind w:left="4254" w:right="0" w:hanging="0"/>
        <w:rPr/>
      </w:pPr>
      <w:r>
        <w:rPr>
          <w:b/>
        </w:rPr>
        <w:t xml:space="preserve">                    </w:t>
      </w:r>
      <w:r>
        <w:rPr>
          <w:b/>
        </w:rPr>
        <w:tab/>
        <w:tab/>
        <w:tab/>
        <w:tab/>
        <w:tab/>
        <w:tab/>
        <w:tab/>
        <w:t xml:space="preserve">    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sectPr>
      <w:type w:val="nextPage"/>
      <w:pgSz w:orient="landscape" w:w="16838" w:h="11906"/>
      <w:pgMar w:left="794" w:right="79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jc w:val="center"/>
    </w:pPr>
    <w:rPr>
      <w:caps/>
      <w:sz w:val="28"/>
      <w:szCs w:val="20"/>
      <w:u w:val="single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ascii="Calibri" w:hAnsi="Calibri"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Mang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2</Pages>
  <Words>379</Words>
  <Characters>2436</Characters>
  <CharactersWithSpaces>2962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2016-09-14T15:08:00Z</dcterms:created>
  <dc:creator>Jan Stanek</dc:creator>
  <dc:description/>
  <dc:language>cs-CZ</dc:language>
  <cp:lastModifiedBy/>
  <dcterms:modified xsi:type="dcterms:W3CDTF">2025-08-26T09:47:43Z</dcterms:modified>
  <cp:revision>10</cp:revision>
  <dc:subject/>
  <dc:title>Osnovy matematiky - 1/4 (3+1 hodina, celkem 148 hodin)</dc:title>
</cp:coreProperties>
</file>